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0E" w:rsidRPr="003F4A0E" w:rsidRDefault="003F4A0E" w:rsidP="003F4A0E">
      <w:pPr>
        <w:spacing w:after="97" w:line="290" w:lineRule="atLeast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</w:pPr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Correction: Ameliorations in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>dyslipidemia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 and atherosclerotic plaque by the inhibition of HMG-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>CoA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>reductase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 and antioxidant potential of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>phytoconstituents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 of an aqueous seed extract of </w:t>
      </w:r>
      <w:r w:rsidRPr="003F4A0E">
        <w:rPr>
          <w:rFonts w:ascii="Helvetica" w:eastAsia="Times New Roman" w:hAnsi="Helvetica" w:cs="Times New Roman"/>
          <w:b/>
          <w:bCs/>
          <w:i/>
          <w:iCs/>
          <w:color w:val="202020"/>
          <w:kern w:val="36"/>
          <w:sz w:val="28"/>
          <w:szCs w:val="28"/>
          <w:lang w:eastAsia="en-IN"/>
        </w:rPr>
        <w:t xml:space="preserve">Acacia </w:t>
      </w:r>
      <w:proofErr w:type="spellStart"/>
      <w:r w:rsidRPr="003F4A0E">
        <w:rPr>
          <w:rFonts w:ascii="Helvetica" w:eastAsia="Times New Roman" w:hAnsi="Helvetica" w:cs="Times New Roman"/>
          <w:b/>
          <w:bCs/>
          <w:i/>
          <w:iCs/>
          <w:color w:val="202020"/>
          <w:kern w:val="36"/>
          <w:sz w:val="28"/>
          <w:szCs w:val="28"/>
          <w:lang w:eastAsia="en-IN"/>
        </w:rPr>
        <w:t>senegal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 (L.)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>Willd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28"/>
          <w:szCs w:val="28"/>
          <w:lang w:eastAsia="en-IN"/>
        </w:rPr>
        <w:t xml:space="preserve"> in rabbits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Jaykaran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Charan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Priyanka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Riyad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Heera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Ram,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Ashok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Purohit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Sneha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Ambwani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Priya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Kashyap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Garima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Singh,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Abeer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Hashem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Elsayed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Fathi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Abd_Allah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Vijai</w:t>
      </w:r>
      <w:proofErr w:type="spellEnd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 Kumar Gupta,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Ashok Kumar,</w:t>
      </w:r>
    </w:p>
    <w:p w:rsidR="003F4A0E" w:rsidRPr="003F4A0E" w:rsidRDefault="003F4A0E" w:rsidP="003F4A0E">
      <w:pPr>
        <w:numPr>
          <w:ilvl w:val="0"/>
          <w:numId w:val="1"/>
        </w:numPr>
        <w:spacing w:after="0" w:line="240" w:lineRule="auto"/>
        <w:ind w:left="688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 xml:space="preserve">Anil </w:t>
      </w:r>
      <w:proofErr w:type="spellStart"/>
      <w:r w:rsidRPr="003F4A0E">
        <w:rPr>
          <w:rFonts w:ascii="inherit" w:eastAsia="Times New Roman" w:hAnsi="inherit" w:cs="Times New Roman"/>
          <w:color w:val="606060"/>
          <w:sz w:val="14"/>
          <w:lang w:eastAsia="en-IN"/>
        </w:rPr>
        <w:t>Panwar</w:t>
      </w:r>
      <w:proofErr w:type="spellEnd"/>
    </w:p>
    <w:p w:rsidR="003F4A0E" w:rsidRPr="003F4A0E" w:rsidRDefault="003F4A0E" w:rsidP="003F4A0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</w:pPr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Correction: Ameliorations in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>dyslipidemia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 and atherosclerotic plaque by the inhibition of HMG-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>CoA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>reductase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 and antioxidant potential of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>phytoconstituents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 of an aqueous seed extract of </w:t>
      </w:r>
      <w:r w:rsidRPr="003F4A0E">
        <w:rPr>
          <w:rFonts w:ascii="Helvetica" w:eastAsia="Times New Roman" w:hAnsi="Helvetica" w:cs="Times New Roman"/>
          <w:b/>
          <w:bCs/>
          <w:i/>
          <w:iCs/>
          <w:color w:val="202020"/>
          <w:kern w:val="36"/>
          <w:sz w:val="15"/>
          <w:szCs w:val="15"/>
          <w:lang w:eastAsia="en-IN"/>
        </w:rPr>
        <w:t xml:space="preserve">Acacia </w:t>
      </w:r>
      <w:proofErr w:type="spellStart"/>
      <w:r w:rsidRPr="003F4A0E">
        <w:rPr>
          <w:rFonts w:ascii="Helvetica" w:eastAsia="Times New Roman" w:hAnsi="Helvetica" w:cs="Times New Roman"/>
          <w:b/>
          <w:bCs/>
          <w:i/>
          <w:iCs/>
          <w:color w:val="202020"/>
          <w:kern w:val="36"/>
          <w:sz w:val="15"/>
          <w:szCs w:val="15"/>
          <w:lang w:eastAsia="en-IN"/>
        </w:rPr>
        <w:t>senegal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 (L.) </w:t>
      </w:r>
      <w:proofErr w:type="spellStart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>Willd</w:t>
      </w:r>
      <w:proofErr w:type="spellEnd"/>
      <w:r w:rsidRPr="003F4A0E">
        <w:rPr>
          <w:rFonts w:ascii="Helvetica" w:eastAsia="Times New Roman" w:hAnsi="Helvetica" w:cs="Times New Roman"/>
          <w:b/>
          <w:bCs/>
          <w:color w:val="202020"/>
          <w:kern w:val="36"/>
          <w:sz w:val="15"/>
          <w:szCs w:val="15"/>
          <w:lang w:eastAsia="en-IN"/>
        </w:rPr>
        <w:t xml:space="preserve"> in rabbits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Jaykaran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Charan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Priyanka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Riyad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Heera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Ram,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Ashok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Purohit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Sneha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Ambwani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Priya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Kashyap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Garima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Singh, 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Abeer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Hashem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,  …</w:t>
      </w: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</w:p>
    <w:p w:rsidR="003F4A0E" w:rsidRPr="003F4A0E" w:rsidRDefault="003F4A0E" w:rsidP="003F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</w:p>
    <w:p w:rsidR="003F4A0E" w:rsidRPr="003F4A0E" w:rsidRDefault="003F4A0E" w:rsidP="003F4A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4A0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OS" style="width:24.2pt;height:24.2pt"/>
        </w:pict>
      </w:r>
      <w:r w:rsidRPr="003F4A0E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3F4A0E" w:rsidRPr="003F4A0E" w:rsidRDefault="003F4A0E" w:rsidP="003F4A0E">
      <w:pPr>
        <w:shd w:val="clear" w:color="auto" w:fill="D7DF23"/>
        <w:spacing w:after="0" w:line="240" w:lineRule="auto"/>
        <w:ind w:hanging="23620"/>
        <w:jc w:val="right"/>
        <w:textAlignment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en-IN"/>
        </w:rPr>
      </w:pPr>
      <w:r w:rsidRPr="003F4A0E">
        <w:rPr>
          <w:rFonts w:ascii="Times New Roman" w:eastAsia="Times New Roman" w:hAnsi="Times New Roman" w:cs="Times New Roman"/>
          <w:color w:val="202020"/>
          <w:sz w:val="24"/>
          <w:szCs w:val="24"/>
          <w:lang w:eastAsia="en-IN"/>
        </w:rPr>
        <w:t>x</w:t>
      </w:r>
    </w:p>
    <w:p w:rsidR="003F4A0E" w:rsidRPr="003F4A0E" w:rsidRDefault="003F4A0E" w:rsidP="003F4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  <w:t>Published: July 18, 2022</w:t>
      </w:r>
    </w:p>
    <w:p w:rsidR="003F4A0E" w:rsidRPr="003F4A0E" w:rsidRDefault="003F4A0E" w:rsidP="003F4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  <w:hyperlink r:id="rId5" w:history="1">
        <w:r w:rsidRPr="003F4A0E">
          <w:rPr>
            <w:rFonts w:ascii="inherit" w:eastAsia="Times New Roman" w:hAnsi="inherit" w:cs="Times New Roman"/>
            <w:color w:val="606060"/>
            <w:sz w:val="14"/>
            <w:u w:val="single"/>
            <w:lang w:eastAsia="en-IN"/>
          </w:rPr>
          <w:t>https://doi.org/10.1371/journal.pone.0271854</w:t>
        </w:r>
      </w:hyperlink>
    </w:p>
    <w:p w:rsidR="003F4A0E" w:rsidRPr="003F4A0E" w:rsidRDefault="003F4A0E" w:rsidP="003F4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606060"/>
          <w:sz w:val="14"/>
          <w:szCs w:val="14"/>
          <w:lang w:eastAsia="en-IN"/>
        </w:rPr>
      </w:pPr>
    </w:p>
    <w:p w:rsidR="003F4A0E" w:rsidRPr="003F4A0E" w:rsidRDefault="003F4A0E" w:rsidP="003F4A0E">
      <w:pPr>
        <w:numPr>
          <w:ilvl w:val="0"/>
          <w:numId w:val="4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6" w:history="1">
        <w:r w:rsidRPr="003F4A0E">
          <w:rPr>
            <w:rFonts w:ascii="Helvetica" w:eastAsia="Times New Roman" w:hAnsi="Helvetica" w:cs="Times New Roman"/>
            <w:b/>
            <w:bCs/>
            <w:color w:val="202020"/>
            <w:sz w:val="24"/>
            <w:szCs w:val="24"/>
            <w:u w:val="single"/>
            <w:lang w:eastAsia="en-IN"/>
          </w:rPr>
          <w:t>Article</w:t>
        </w:r>
      </w:hyperlink>
    </w:p>
    <w:p w:rsidR="003F4A0E" w:rsidRPr="003F4A0E" w:rsidRDefault="003F4A0E" w:rsidP="003F4A0E">
      <w:pPr>
        <w:numPr>
          <w:ilvl w:val="0"/>
          <w:numId w:val="4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7" w:history="1">
        <w:r w:rsidRPr="003F4A0E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lang w:eastAsia="en-IN"/>
          </w:rPr>
          <w:t>Metrics</w:t>
        </w:r>
      </w:hyperlink>
    </w:p>
    <w:p w:rsidR="003F4A0E" w:rsidRPr="003F4A0E" w:rsidRDefault="003F4A0E" w:rsidP="003F4A0E">
      <w:pPr>
        <w:numPr>
          <w:ilvl w:val="0"/>
          <w:numId w:val="4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8" w:history="1">
        <w:r w:rsidRPr="003F4A0E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lang w:eastAsia="en-IN"/>
          </w:rPr>
          <w:t>Comments</w:t>
        </w:r>
      </w:hyperlink>
    </w:p>
    <w:p w:rsidR="003F4A0E" w:rsidRPr="003F4A0E" w:rsidRDefault="003F4A0E" w:rsidP="003F4A0E">
      <w:pPr>
        <w:numPr>
          <w:ilvl w:val="0"/>
          <w:numId w:val="4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IN"/>
        </w:rPr>
      </w:pPr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Media Coverage</w:t>
      </w:r>
    </w:p>
    <w:p w:rsidR="003F4A0E" w:rsidRPr="003F4A0E" w:rsidRDefault="003F4A0E" w:rsidP="003F4A0E">
      <w:pPr>
        <w:numPr>
          <w:ilvl w:val="0"/>
          <w:numId w:val="5"/>
        </w:numPr>
        <w:pBdr>
          <w:bottom w:val="single" w:sz="4" w:space="0" w:color="909090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9" w:anchor="reference" w:history="1">
        <w:r w:rsidRPr="003F4A0E">
          <w:rPr>
            <w:rFonts w:ascii="inherit" w:eastAsia="Times New Roman" w:hAnsi="inherit" w:cs="Times New Roman"/>
            <w:color w:val="606060"/>
            <w:sz w:val="24"/>
            <w:szCs w:val="24"/>
            <w:u w:val="single"/>
            <w:lang w:eastAsia="en-IN"/>
          </w:rPr>
          <w:t>Reference</w:t>
        </w:r>
      </w:hyperlink>
    </w:p>
    <w:p w:rsidR="003F4A0E" w:rsidRPr="003F4A0E" w:rsidRDefault="003F4A0E" w:rsidP="003F4A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10" w:history="1">
        <w:r w:rsidRPr="003F4A0E">
          <w:rPr>
            <w:rFonts w:ascii="inherit" w:eastAsia="Times New Roman" w:hAnsi="inherit" w:cs="Times New Roman"/>
            <w:color w:val="202020"/>
            <w:sz w:val="24"/>
            <w:szCs w:val="24"/>
            <w:u w:val="single"/>
            <w:lang w:eastAsia="en-IN"/>
          </w:rPr>
          <w:t>Reader Comments</w:t>
        </w:r>
      </w:hyperlink>
    </w:p>
    <w:p w:rsidR="003F4A0E" w:rsidRPr="003F4A0E" w:rsidRDefault="003F4A0E" w:rsidP="003F4A0E">
      <w:pPr>
        <w:spacing w:line="193" w:lineRule="atLeast"/>
        <w:rPr>
          <w:rFonts w:ascii="inherit" w:eastAsia="Times New Roman" w:hAnsi="inherit" w:cs="Times New Roman"/>
          <w:sz w:val="14"/>
          <w:szCs w:val="14"/>
          <w:lang w:eastAsia="en-IN"/>
        </w:rPr>
      </w:pPr>
      <w:bookmarkStart w:id="0" w:name="article1.body1.p1"/>
      <w:bookmarkEnd w:id="0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The following information is missing from the Acknowledgments: The authors would like to extend their sincere appreciation to the Researchers Supporting Project Number (RSP-2021/134), King Saud University, Riyadh, Saudi Arabia.</w:t>
      </w:r>
    </w:p>
    <w:p w:rsidR="003F4A0E" w:rsidRPr="003F4A0E" w:rsidRDefault="003F4A0E" w:rsidP="003F4A0E">
      <w:pPr>
        <w:spacing w:after="193" w:line="193" w:lineRule="atLeast"/>
        <w:outlineLvl w:val="1"/>
        <w:rPr>
          <w:rFonts w:ascii="Helvetica" w:eastAsia="Times New Roman" w:hAnsi="Helvetica" w:cs="Times New Roman"/>
          <w:color w:val="202020"/>
          <w:sz w:val="36"/>
          <w:szCs w:val="36"/>
          <w:lang w:eastAsia="en-IN"/>
        </w:rPr>
      </w:pPr>
      <w:bookmarkStart w:id="1" w:name="reference"/>
      <w:bookmarkEnd w:id="1"/>
      <w:r w:rsidRPr="003F4A0E">
        <w:rPr>
          <w:rFonts w:ascii="Helvetica" w:eastAsia="Times New Roman" w:hAnsi="Helvetica" w:cs="Times New Roman"/>
          <w:color w:val="202020"/>
          <w:sz w:val="36"/>
          <w:szCs w:val="36"/>
          <w:lang w:eastAsia="en-IN"/>
        </w:rPr>
        <w:t>Reference</w:t>
      </w:r>
    </w:p>
    <w:p w:rsidR="003F4A0E" w:rsidRPr="003F4A0E" w:rsidRDefault="003F4A0E" w:rsidP="003F4A0E">
      <w:pPr>
        <w:numPr>
          <w:ilvl w:val="0"/>
          <w:numId w:val="7"/>
        </w:numPr>
        <w:spacing w:after="193" w:line="193" w:lineRule="atLeast"/>
        <w:rPr>
          <w:rFonts w:ascii="inherit" w:eastAsia="Times New Roman" w:hAnsi="inherit" w:cs="Times New Roman"/>
          <w:sz w:val="24"/>
          <w:szCs w:val="24"/>
          <w:lang w:eastAsia="en-IN"/>
        </w:rPr>
      </w:pPr>
      <w:r w:rsidRPr="003F4A0E">
        <w:rPr>
          <w:rFonts w:ascii="inherit" w:eastAsia="Times New Roman" w:hAnsi="inherit" w:cs="Times New Roman"/>
          <w:b/>
          <w:bCs/>
          <w:sz w:val="24"/>
          <w:szCs w:val="24"/>
          <w:lang w:eastAsia="en-IN"/>
        </w:rPr>
        <w:lastRenderedPageBreak/>
        <w:t>1.</w:t>
      </w:r>
      <w:bookmarkStart w:id="2" w:name="pone.0271854.ref001"/>
      <w:bookmarkEnd w:id="2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Charan J,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Riyad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P, Ram H,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Purohit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A,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Ambwani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S,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Kashyap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P, et al. (2022) Ameliorations in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dyslipidemia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and atherosclerotic plaque by the inhibition of HMG-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CoA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reductase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and antioxidant potential of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phytoconstituents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of an aqueous seed extract of </w:t>
      </w:r>
      <w:r w:rsidRPr="003F4A0E">
        <w:rPr>
          <w:rFonts w:ascii="inherit" w:eastAsia="Times New Roman" w:hAnsi="inherit" w:cs="Times New Roman"/>
          <w:i/>
          <w:iCs/>
          <w:sz w:val="24"/>
          <w:szCs w:val="24"/>
          <w:lang w:eastAsia="en-IN"/>
        </w:rPr>
        <w:t xml:space="preserve">Acacia </w:t>
      </w:r>
      <w:proofErr w:type="spellStart"/>
      <w:r w:rsidRPr="003F4A0E">
        <w:rPr>
          <w:rFonts w:ascii="inherit" w:eastAsia="Times New Roman" w:hAnsi="inherit" w:cs="Times New Roman"/>
          <w:i/>
          <w:iCs/>
          <w:sz w:val="24"/>
          <w:szCs w:val="24"/>
          <w:lang w:eastAsia="en-IN"/>
        </w:rPr>
        <w:t>senegal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 (L.)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Willd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in rabbits. </w:t>
      </w:r>
      <w:proofErr w:type="spellStart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PLoS</w:t>
      </w:r>
      <w:proofErr w:type="spellEnd"/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 xml:space="preserve"> ONE 17(3): e0264646. </w:t>
      </w:r>
      <w:hyperlink r:id="rId11" w:history="1">
        <w:r w:rsidRPr="003F4A0E">
          <w:rPr>
            <w:rFonts w:ascii="inherit" w:eastAsia="Times New Roman" w:hAnsi="inherit" w:cs="Times New Roman"/>
            <w:color w:val="3E0577"/>
            <w:sz w:val="24"/>
            <w:szCs w:val="24"/>
            <w:u w:val="single"/>
            <w:lang w:eastAsia="en-IN"/>
          </w:rPr>
          <w:t>https://doi.org/10.1371/journal.pone.0264646</w:t>
        </w:r>
      </w:hyperlink>
      <w:r w:rsidRPr="003F4A0E">
        <w:rPr>
          <w:rFonts w:ascii="inherit" w:eastAsia="Times New Roman" w:hAnsi="inherit" w:cs="Times New Roman"/>
          <w:sz w:val="24"/>
          <w:szCs w:val="24"/>
          <w:lang w:eastAsia="en-IN"/>
        </w:rPr>
        <w:t> pmid:35239727</w:t>
      </w:r>
    </w:p>
    <w:p w:rsidR="003F4A0E" w:rsidRPr="003F4A0E" w:rsidRDefault="003F4A0E" w:rsidP="003F4A0E">
      <w:pPr>
        <w:numPr>
          <w:ilvl w:val="1"/>
          <w:numId w:val="7"/>
        </w:numPr>
        <w:spacing w:before="100" w:beforeAutospacing="1" w:after="100" w:afterAutospacing="1" w:line="193" w:lineRule="atLeast"/>
        <w:ind w:left="720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12" w:tgtFrame="_new" w:tooltip="Go to article in CrossRef" w:history="1">
        <w:r w:rsidRPr="003F4A0E">
          <w:rPr>
            <w:rFonts w:ascii="inherit" w:eastAsia="Times New Roman" w:hAnsi="inherit" w:cs="Times New Roman"/>
            <w:color w:val="3E0577"/>
            <w:sz w:val="24"/>
            <w:szCs w:val="24"/>
            <w:u w:val="single"/>
            <w:lang w:eastAsia="en-IN"/>
          </w:rPr>
          <w:t>View Article</w:t>
        </w:r>
      </w:hyperlink>
    </w:p>
    <w:p w:rsidR="003F4A0E" w:rsidRPr="003F4A0E" w:rsidRDefault="003F4A0E" w:rsidP="003F4A0E">
      <w:pPr>
        <w:numPr>
          <w:ilvl w:val="1"/>
          <w:numId w:val="8"/>
        </w:numPr>
        <w:spacing w:before="100" w:beforeAutospacing="1" w:after="100" w:afterAutospacing="1" w:line="193" w:lineRule="atLeast"/>
        <w:ind w:left="720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13" w:tgtFrame="_new" w:tooltip="Go to article in PubMed" w:history="1">
        <w:proofErr w:type="spellStart"/>
        <w:r w:rsidRPr="003F4A0E">
          <w:rPr>
            <w:rFonts w:ascii="inherit" w:eastAsia="Times New Roman" w:hAnsi="inherit" w:cs="Times New Roman"/>
            <w:color w:val="3E0577"/>
            <w:sz w:val="24"/>
            <w:szCs w:val="24"/>
            <w:u w:val="single"/>
            <w:lang w:eastAsia="en-IN"/>
          </w:rPr>
          <w:t>PubMed</w:t>
        </w:r>
        <w:proofErr w:type="spellEnd"/>
        <w:r w:rsidRPr="003F4A0E">
          <w:rPr>
            <w:rFonts w:ascii="inherit" w:eastAsia="Times New Roman" w:hAnsi="inherit" w:cs="Times New Roman"/>
            <w:color w:val="3E0577"/>
            <w:sz w:val="24"/>
            <w:szCs w:val="24"/>
            <w:u w:val="single"/>
            <w:lang w:eastAsia="en-IN"/>
          </w:rPr>
          <w:t>/NCBI</w:t>
        </w:r>
      </w:hyperlink>
    </w:p>
    <w:p w:rsidR="003F4A0E" w:rsidRPr="003F4A0E" w:rsidRDefault="003F4A0E" w:rsidP="003F4A0E">
      <w:pPr>
        <w:numPr>
          <w:ilvl w:val="1"/>
          <w:numId w:val="8"/>
        </w:numPr>
        <w:spacing w:before="100" w:beforeAutospacing="1" w:after="100" w:afterAutospacing="1" w:line="193" w:lineRule="atLeast"/>
        <w:ind w:left="720"/>
        <w:rPr>
          <w:rFonts w:ascii="inherit" w:eastAsia="Times New Roman" w:hAnsi="inherit" w:cs="Times New Roman"/>
          <w:sz w:val="24"/>
          <w:szCs w:val="24"/>
          <w:lang w:eastAsia="en-IN"/>
        </w:rPr>
      </w:pPr>
      <w:hyperlink r:id="rId14" w:tgtFrame="_new" w:tooltip="Go to article in Google Scholar" w:history="1">
        <w:r w:rsidRPr="003F4A0E">
          <w:rPr>
            <w:rFonts w:ascii="inherit" w:eastAsia="Times New Roman" w:hAnsi="inherit" w:cs="Times New Roman"/>
            <w:color w:val="3E0577"/>
            <w:sz w:val="24"/>
            <w:szCs w:val="24"/>
            <w:u w:val="single"/>
            <w:lang w:eastAsia="en-IN"/>
          </w:rPr>
          <w:t>Google Scholar</w:t>
        </w:r>
      </w:hyperlink>
    </w:p>
    <w:p w:rsidR="003F4A0E" w:rsidRPr="003F4A0E" w:rsidRDefault="003F4A0E" w:rsidP="003F4A0E">
      <w:pPr>
        <w:spacing w:after="0" w:line="193" w:lineRule="atLeast"/>
        <w:rPr>
          <w:rFonts w:ascii="inherit" w:eastAsia="Times New Roman" w:hAnsi="inherit" w:cs="Times New Roman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b/>
          <w:bCs/>
          <w:sz w:val="14"/>
          <w:lang w:eastAsia="en-IN"/>
        </w:rPr>
        <w:t>Citation: 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Charan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J,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Riyad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P, Ram H,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Purohit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A,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Ambwani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S,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Kashyap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P, et al. (2022) Correction: Ameliorations in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dyslipidemia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and atherosclerotic plaque by the inhibition of HMG-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CoA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reductase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and antioxidant potential of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phytoconstituents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of an aqueous seed extract of </w:t>
      </w:r>
      <w:r w:rsidRPr="003F4A0E">
        <w:rPr>
          <w:rFonts w:ascii="inherit" w:eastAsia="Times New Roman" w:hAnsi="inherit" w:cs="Times New Roman"/>
          <w:i/>
          <w:iCs/>
          <w:sz w:val="14"/>
          <w:lang w:eastAsia="en-IN"/>
        </w:rPr>
        <w:t xml:space="preserve">Acacia </w:t>
      </w:r>
      <w:proofErr w:type="spellStart"/>
      <w:r w:rsidRPr="003F4A0E">
        <w:rPr>
          <w:rFonts w:ascii="inherit" w:eastAsia="Times New Roman" w:hAnsi="inherit" w:cs="Times New Roman"/>
          <w:i/>
          <w:iCs/>
          <w:sz w:val="14"/>
          <w:lang w:eastAsia="en-IN"/>
        </w:rPr>
        <w:t>senegal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 (L.)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Willd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in rabbits.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PLoS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ONE 17(7): e0271854. https://doi.org/10.1371/journal.pone.0271854</w:t>
      </w:r>
    </w:p>
    <w:p w:rsidR="003F4A0E" w:rsidRPr="003F4A0E" w:rsidRDefault="003F4A0E" w:rsidP="003F4A0E">
      <w:pPr>
        <w:pBdr>
          <w:top w:val="single" w:sz="4" w:space="0" w:color="C0C0C0"/>
        </w:pBdr>
        <w:spacing w:after="0" w:line="193" w:lineRule="atLeast"/>
        <w:rPr>
          <w:rFonts w:ascii="inherit" w:eastAsia="Times New Roman" w:hAnsi="inherit" w:cs="Times New Roman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b/>
          <w:bCs/>
          <w:sz w:val="14"/>
          <w:lang w:eastAsia="en-IN"/>
        </w:rPr>
        <w:t>Published: </w:t>
      </w:r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July 18, 2022</w:t>
      </w:r>
    </w:p>
    <w:p w:rsidR="003F4A0E" w:rsidRPr="003F4A0E" w:rsidRDefault="003F4A0E" w:rsidP="003F4A0E">
      <w:pPr>
        <w:pBdr>
          <w:top w:val="single" w:sz="4" w:space="0" w:color="C0C0C0"/>
        </w:pBdr>
        <w:spacing w:after="193" w:line="193" w:lineRule="atLeast"/>
        <w:rPr>
          <w:rFonts w:ascii="inherit" w:eastAsia="Times New Roman" w:hAnsi="inherit" w:cs="Times New Roman"/>
          <w:sz w:val="14"/>
          <w:szCs w:val="14"/>
          <w:lang w:eastAsia="en-IN"/>
        </w:rPr>
      </w:pPr>
      <w:r w:rsidRPr="003F4A0E">
        <w:rPr>
          <w:rFonts w:ascii="inherit" w:eastAsia="Times New Roman" w:hAnsi="inherit" w:cs="Times New Roman"/>
          <w:b/>
          <w:bCs/>
          <w:sz w:val="14"/>
          <w:lang w:eastAsia="en-IN"/>
        </w:rPr>
        <w:t>Copyright: </w:t>
      </w:r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© 2022 </w:t>
      </w:r>
      <w:proofErr w:type="spellStart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Charan</w:t>
      </w:r>
      <w:proofErr w:type="spellEnd"/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 xml:space="preserve"> et al. This is an open access article distributed under the terms of the </w:t>
      </w:r>
      <w:hyperlink r:id="rId15" w:history="1">
        <w:r w:rsidRPr="003F4A0E">
          <w:rPr>
            <w:rFonts w:ascii="inherit" w:eastAsia="Times New Roman" w:hAnsi="inherit" w:cs="Times New Roman"/>
            <w:color w:val="3E0577"/>
            <w:sz w:val="14"/>
            <w:u w:val="single"/>
            <w:lang w:eastAsia="en-IN"/>
          </w:rPr>
          <w:t>Creative Commons Attribution License</w:t>
        </w:r>
      </w:hyperlink>
      <w:r w:rsidRPr="003F4A0E">
        <w:rPr>
          <w:rFonts w:ascii="inherit" w:eastAsia="Times New Roman" w:hAnsi="inherit" w:cs="Times New Roman"/>
          <w:sz w:val="14"/>
          <w:szCs w:val="14"/>
          <w:lang w:eastAsia="en-IN"/>
        </w:rPr>
        <w:t>, which permits unrestricted use, distribution, and reproduction in any medium, provided the original author and source are credited.</w:t>
      </w:r>
    </w:p>
    <w:p w:rsidR="0043506A" w:rsidRDefault="0043506A"/>
    <w:sectPr w:rsidR="0043506A" w:rsidSect="00435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9CD"/>
    <w:multiLevelType w:val="multilevel"/>
    <w:tmpl w:val="935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58AF"/>
    <w:multiLevelType w:val="multilevel"/>
    <w:tmpl w:val="FBE8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B524A"/>
    <w:multiLevelType w:val="multilevel"/>
    <w:tmpl w:val="2B5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C6F25"/>
    <w:multiLevelType w:val="multilevel"/>
    <w:tmpl w:val="75DA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A0C05"/>
    <w:multiLevelType w:val="multilevel"/>
    <w:tmpl w:val="BD06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C181E"/>
    <w:multiLevelType w:val="multilevel"/>
    <w:tmpl w:val="E356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85F2D"/>
    <w:multiLevelType w:val="multilevel"/>
    <w:tmpl w:val="0C6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F4A0E"/>
    <w:rsid w:val="003F4A0E"/>
    <w:rsid w:val="0043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6A"/>
  </w:style>
  <w:style w:type="paragraph" w:styleId="Heading1">
    <w:name w:val="heading 1"/>
    <w:basedOn w:val="Normal"/>
    <w:link w:val="Heading1Char"/>
    <w:uiPriority w:val="9"/>
    <w:qFormat/>
    <w:rsid w:val="003F4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3F4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A0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F4A0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uthor-name">
    <w:name w:val="author-name"/>
    <w:basedOn w:val="DefaultParagraphFont"/>
    <w:rsid w:val="003F4A0E"/>
  </w:style>
  <w:style w:type="character" w:styleId="Hyperlink">
    <w:name w:val="Hyperlink"/>
    <w:basedOn w:val="DefaultParagraphFont"/>
    <w:uiPriority w:val="99"/>
    <w:semiHidden/>
    <w:unhideWhenUsed/>
    <w:rsid w:val="003F4A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rder">
    <w:name w:val="order"/>
    <w:basedOn w:val="DefaultParagraphFont"/>
    <w:rsid w:val="003F4A0E"/>
  </w:style>
  <w:style w:type="character" w:styleId="Emphasis">
    <w:name w:val="Emphasis"/>
    <w:basedOn w:val="DefaultParagraphFont"/>
    <w:uiPriority w:val="20"/>
    <w:qFormat/>
    <w:rsid w:val="003F4A0E"/>
    <w:rPr>
      <w:i/>
      <w:iCs/>
    </w:rPr>
  </w:style>
  <w:style w:type="character" w:styleId="Strong">
    <w:name w:val="Strong"/>
    <w:basedOn w:val="DefaultParagraphFont"/>
    <w:uiPriority w:val="22"/>
    <w:qFormat/>
    <w:rsid w:val="003F4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831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0C0C0"/>
                <w:right w:val="none" w:sz="0" w:space="0" w:color="auto"/>
              </w:divBdr>
              <w:divsChild>
                <w:div w:id="677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138">
                      <w:marLeft w:val="0"/>
                      <w:marRight w:val="0"/>
                      <w:marTop w:val="29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8188">
                      <w:marLeft w:val="0"/>
                      <w:marRight w:val="0"/>
                      <w:marTop w:val="0"/>
                      <w:marBottom w:val="193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plos.org/plosone/article/comments?id=10.1371/journal.pone.0271854" TargetMode="External"/><Relationship Id="rId13" Type="http://schemas.openxmlformats.org/officeDocument/2006/relationships/hyperlink" Target="http://www.ncbi.nlm.nih.gov/pubmed/35239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plos.org/plosone/article/metrics?id=10.1371/journal.pone.0271854" TargetMode="External"/><Relationship Id="rId12" Type="http://schemas.openxmlformats.org/officeDocument/2006/relationships/hyperlink" Target="https://journals.plos.org/plosone/article?id=10.1371/journal.pone.02718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ournals.plos.org/plosone/article?id=10.1371/journal.pone.0271854" TargetMode="External"/><Relationship Id="rId11" Type="http://schemas.openxmlformats.org/officeDocument/2006/relationships/hyperlink" Target="https://doi.org/10.1371/journal.pone.0264646" TargetMode="External"/><Relationship Id="rId5" Type="http://schemas.openxmlformats.org/officeDocument/2006/relationships/hyperlink" Target="https://doi.org/10.1371/journal.pone.0271854" TargetMode="Externa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https://journals.plos.org/plosone/article/comments?id=10.1371/journal.pone.0271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plos.org/plosone/article?id=10.1371/journal.pone.0271854" TargetMode="External"/><Relationship Id="rId14" Type="http://schemas.openxmlformats.org/officeDocument/2006/relationships/hyperlink" Target="http://scholar.google.com/scholar?q=Ameliorations+in+dyslipidemia+and+atherosclerotic+plaque+by+the+inhibition+of+HMG-CoA+reductase+and+antioxidant+potential+of+phytoconstituents+of+an+aqueous+seed+extract+of+Acacia+senegal+%28L.%29+Willd+in+rabbits.+Charan+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2024-06-07T05:24:00Z</dcterms:created>
  <dcterms:modified xsi:type="dcterms:W3CDTF">2024-06-07T05:24:00Z</dcterms:modified>
</cp:coreProperties>
</file>